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DINDING CONTIGUOUS BORED PILE</w:t>
      </w:r>
    </w:p>
    <w:p>
      <w:pPr>
        <w:spacing w:after="480"/>
      </w:pPr>
      <w:r>
        <w:rPr>
          <w:rFonts w:ascii="Aptos" w:hAnsi="Aptos"/>
          <w:b w:val="0"/>
          <w:color w:val="5E6B78"/>
          <w:sz w:val="26"/>
        </w:rPr>
        <w:t>Contiguous Bored-Pile Retaining Wall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dinding contiguous bored pile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dinding contiguous bored pile.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 cages</w:t>
      </w:r>
    </w:p>
    <w:p>
      <w:pPr>
        <w:pStyle w:val="ListBullet"/>
        <w:spacing w:after="50"/>
        <w:ind w:left="369" w:hanging="170"/>
      </w:pPr>
      <w:r>
        <w:rPr>
          <w:rFonts w:ascii="Aptos" w:hAnsi="Aptos"/>
          <w:b w:val="0"/>
          <w:color w:val="263442"/>
          <w:sz w:val="19"/>
        </w:rPr>
        <w:t>Temporary casing</w:t>
      </w:r>
    </w:p>
    <w:p>
      <w:pPr>
        <w:pStyle w:val="ListBullet"/>
        <w:spacing w:after="50"/>
        <w:ind w:left="369" w:hanging="170"/>
      </w:pPr>
      <w:r>
        <w:rPr>
          <w:rFonts w:ascii="Aptos" w:hAnsi="Aptos"/>
          <w:b w:val="0"/>
          <w:color w:val="263442"/>
          <w:sz w:val="19"/>
        </w:rPr>
        <w:t>Guide-wall konkrit</w:t>
      </w:r>
    </w:p>
    <w:p>
      <w:pPr>
        <w:pStyle w:val="ListBullet"/>
        <w:spacing w:after="50"/>
        <w:ind w:left="369" w:hanging="170"/>
      </w:pPr>
      <w:r>
        <w:rPr>
          <w:rFonts w:ascii="Aptos" w:hAnsi="Aptos"/>
          <w:b w:val="0"/>
          <w:color w:val="263442"/>
          <w:sz w:val="19"/>
        </w:rPr>
        <w:t>Capping-beam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Rotary piling pasang rigging</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Casing oscillator</w:t>
      </w:r>
    </w:p>
    <w:p>
      <w:pPr>
        <w:pStyle w:val="ListBullet"/>
        <w:spacing w:after="50"/>
        <w:ind w:left="369" w:hanging="170"/>
      </w:pPr>
      <w:r>
        <w:rPr>
          <w:rFonts w:ascii="Aptos" w:hAnsi="Aptos"/>
          <w:b w:val="0"/>
          <w:color w:val="263442"/>
          <w:sz w:val="19"/>
        </w:rPr>
        <w:t>Tremie pipes</w:t>
      </w:r>
    </w:p>
    <w:p>
      <w:pPr>
        <w:pStyle w:val="ListBullet"/>
        <w:spacing w:after="50"/>
        <w:ind w:left="369" w:hanging="170"/>
      </w:pPr>
      <w:r>
        <w:rPr>
          <w:rFonts w:ascii="Aptos" w:hAnsi="Aptos"/>
          <w:b w:val="0"/>
          <w:color w:val="263442"/>
          <w:sz w:val="19"/>
        </w:rPr>
        <w:t>Jalankan ukur dan ketegakan instruments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dinding contiguous bored pile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Tetulang cages, Temporary casing, Guide-wall konkrit, Capping-beam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wall geometry. </w:t>
      </w:r>
      <w:r>
        <w:rPr>
          <w:rFonts w:ascii="Aptos" w:hAnsi="Aptos"/>
          <w:b w:val="0"/>
          <w:color w:val="263442"/>
          <w:sz w:val="19"/>
        </w:rPr>
        <w:t>Luluskan  wall geometry, urutan cerucuk, platform, tolerances, monitoring dan adjacent-asset kawalan.</w:t>
      </w:r>
    </w:p>
    <w:p>
      <w:pPr>
        <w:keepLines/>
        <w:spacing w:after="100" w:line="269" w:lineRule="auto"/>
        <w:ind w:left="369" w:hanging="369"/>
      </w:pPr>
      <w:r>
        <w:rPr>
          <w:rFonts w:ascii="Aptos" w:hAnsi="Aptos"/>
          <w:b/>
          <w:color w:val="071E33"/>
          <w:sz w:val="19"/>
        </w:rPr>
        <w:t xml:space="preserve">2. Bina guide wall. </w:t>
      </w:r>
      <w:r>
        <w:rPr>
          <w:rFonts w:ascii="Aptos" w:hAnsi="Aptos"/>
          <w:b w:val="0"/>
          <w:color w:val="263442"/>
          <w:sz w:val="19"/>
        </w:rPr>
        <w:t>Bina guide wall dan buat setting-out every pile centre using protected jalankan ukur references.</w:t>
      </w:r>
    </w:p>
    <w:p>
      <w:pPr>
        <w:keepLines/>
        <w:spacing w:after="100" w:line="269" w:lineRule="auto"/>
        <w:ind w:left="369" w:hanging="369"/>
      </w:pPr>
      <w:r>
        <w:rPr>
          <w:rFonts w:ascii="Aptos" w:hAnsi="Aptos"/>
          <w:b/>
          <w:color w:val="071E33"/>
          <w:sz w:val="19"/>
        </w:rPr>
        <w:t xml:space="preserve">3. Pasang casing dan bore cerucuk primer dalam  diluluskan alternate urutan. </w:t>
      </w:r>
      <w:r>
        <w:rPr>
          <w:rFonts w:ascii="Aptos" w:hAnsi="Aptos"/>
          <w:b w:val="0"/>
          <w:color w:val="263442"/>
          <w:sz w:val="19"/>
        </w:rPr>
        <w:t>Pasang casing dan bore cerucuk primer dalam  diluluskan alternate urutan sambil logging strata dan ketegakan.</w:t>
      </w:r>
    </w:p>
    <w:p>
      <w:pPr>
        <w:keepLines/>
        <w:spacing w:after="100" w:line="269" w:lineRule="auto"/>
        <w:ind w:left="369" w:hanging="369"/>
      </w:pPr>
      <w:r>
        <w:rPr>
          <w:rFonts w:ascii="Aptos" w:hAnsi="Aptos"/>
          <w:b/>
          <w:color w:val="071E33"/>
          <w:sz w:val="19"/>
        </w:rPr>
        <w:t xml:space="preserve">4. Bersihkan setiap base. </w:t>
      </w:r>
      <w:r>
        <w:rPr>
          <w:rFonts w:ascii="Aptos" w:hAnsi="Aptos"/>
          <w:b w:val="0"/>
          <w:color w:val="263442"/>
          <w:sz w:val="19"/>
        </w:rPr>
        <w:t>Bersihkan setiap base, lower  inspected sangkar tetulang dan tempatkan konkrit secara berterusan oleh tremie.</w:t>
      </w:r>
    </w:p>
    <w:p>
      <w:pPr>
        <w:keepLines/>
        <w:spacing w:after="100" w:line="269" w:lineRule="auto"/>
        <w:ind w:left="369" w:hanging="369"/>
      </w:pPr>
      <w:r>
        <w:rPr>
          <w:rFonts w:ascii="Aptos" w:hAnsi="Aptos"/>
          <w:b/>
          <w:color w:val="071E33"/>
          <w:sz w:val="19"/>
        </w:rPr>
        <w:t xml:space="preserve">5. Bina infill piles hanya. </w:t>
      </w:r>
      <w:r>
        <w:rPr>
          <w:rFonts w:ascii="Aptos" w:hAnsi="Aptos"/>
          <w:b w:val="0"/>
          <w:color w:val="263442"/>
          <w:sz w:val="19"/>
        </w:rPr>
        <w:t>Bina infill piles hanya selepas adjacent konkrit has achieved  ditetapkan kekuatan dan sahkan wall continuity.</w:t>
      </w:r>
    </w:p>
    <w:p>
      <w:pPr>
        <w:keepLines/>
        <w:spacing w:after="100" w:line="269" w:lineRule="auto"/>
        <w:ind w:left="369" w:hanging="369"/>
      </w:pPr>
      <w:r>
        <w:rPr>
          <w:rFonts w:ascii="Aptos" w:hAnsi="Aptos"/>
          <w:b/>
          <w:color w:val="071E33"/>
          <w:sz w:val="19"/>
        </w:rPr>
        <w:t xml:space="preserve">6. Kemaskan heads, jalankan ukur as-built positions. </w:t>
      </w:r>
      <w:r>
        <w:rPr>
          <w:rFonts w:ascii="Aptos" w:hAnsi="Aptos"/>
          <w:b w:val="0"/>
          <w:color w:val="263442"/>
          <w:sz w:val="19"/>
        </w:rPr>
        <w:t>Kemaskan heads, jalankan ukur as-built positions dan bina  capping beam sebelum staged pengorekan.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platform kerja; guide wall dan setting-out; kedalaman lubang dan ketegakan; cage dan konkrit; wall continuity; as-built dan capping beam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pasang rigging overturning; open bore; crane lifting; adjacent-pergerakan tanah; konkrit tekanan.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platform kerja</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Guide wall dan setting-out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Kedalaman lubang dan ketegakan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Cage dan konkrit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Wall continuity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As-built dan capping beam</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Pasang rigging overturning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bore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Adjacent-pergerakan tanah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Dinding Contiguous Bored Pile</dc:title>
  <dc:subject>Template penyata kaedah pembinaan yang boleh diedit</dc:subject>
  <dc:creator>Method Statement Hub Malaysia</dc:creator>
  <cp:keywords>contiguous bored pile, CBP wall, retaining wall,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